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9B: Naturfagprøve torsdag 25.jan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9A: Presentasjon av prosjekt fredag 26.jan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Lag middag en dag hjemme. Lever rapport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lage norsk tradisjonsmat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dialekt.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Pytagoras.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Hjemme: Gå inn på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Campus 8-10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5 valgfrie oppgaver i kapittel 15.2.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Utforske, beskrive og argumentere for sammenhenger mellom sidelengdene i trekanter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leser kapittel 10-19 (side 48-83) i Holes. Om vi ikke blir ferdig på skolen skal resten leses/lyttes til hjemme.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lese, tolke og reflektere over engelskspråklig skjønnlitteratur, inkludert ungdomslitteratur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Avslutter kapittelet om Energi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livssynshumanismen.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1.verdenskrig.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color w:val="3030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sammen med medelever skape og presentere dansekomposisjoner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Gebt deine Präsentation im Classroom als ein Wevideo ab.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einen deutschen Song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å fortelle om hjemmet ditt. På torsdag 1. februar skal du skrive en tekst om dette.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hjemmet ditt.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Egentrening. Husk å skrive logg.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 for andre: Rapport for uke 3 og 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mpus.inkrement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